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261"/>
        <w:gridCol w:w="570"/>
        <w:gridCol w:w="775"/>
        <w:gridCol w:w="1241"/>
        <w:gridCol w:w="1187"/>
        <w:gridCol w:w="1130"/>
        <w:gridCol w:w="1290"/>
      </w:tblGrid>
      <w:tr w:rsidR="00BC6F5F" w:rsidRPr="00BC6F5F" w:rsidTr="00BC6F5F">
        <w:trPr>
          <w:trHeight w:val="1020"/>
          <w:tblHeader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F5F" w:rsidRPr="00E13146" w:rsidRDefault="00BC6F5F" w:rsidP="00BC6F5F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</w:pPr>
            <w:r w:rsidRPr="00E13146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Модели ИБП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F5F" w:rsidRPr="00E13146" w:rsidRDefault="00BC6F5F" w:rsidP="00BC6F5F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</w:pPr>
            <w:r w:rsidRPr="00E13146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PS30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C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F5F" w:rsidRPr="00E13146" w:rsidRDefault="00BC6F5F" w:rsidP="00BC6F5F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</w:pPr>
            <w:r w:rsidRPr="00E13146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PS40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F5F" w:rsidRPr="00E13146" w:rsidRDefault="00BC6F5F" w:rsidP="00BC6F5F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</w:pPr>
            <w:r w:rsidRPr="00E13146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PS60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F5F" w:rsidRPr="00E13146" w:rsidRDefault="00BC6F5F" w:rsidP="00BC6F5F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</w:pPr>
            <w:r w:rsidRPr="00E13146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PS80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C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C6F5F" w:rsidRPr="00BC6F5F" w:rsidRDefault="00BC6F5F" w:rsidP="00BC6F5F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</w:pPr>
            <w:r w:rsidRPr="00E13146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PS1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0</w:t>
            </w:r>
            <w:bookmarkStart w:id="0" w:name="_GoBack"/>
            <w:bookmarkEnd w:id="0"/>
            <w:r w:rsidRPr="00E13146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0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6F5F" w:rsidRPr="00E13146" w:rsidRDefault="00BC6F5F" w:rsidP="00BC6F5F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</w:pPr>
            <w:r w:rsidRPr="00E13146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PS1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2</w:t>
            </w:r>
            <w:r w:rsidRPr="00E13146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0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C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8118" w:type="dxa"/>
            <w:gridSpan w:val="6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Входной каскад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380/400/415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переменного тока, три фазы с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нейтралью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(4 провода)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частота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 / 60 Гц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диапазон входного напряжения, при котором не происходит переключения на батареи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320 – 480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, при 100% нагрузке 240 – 480 В, при 50% нагрузке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диапазон входной частоты, при котором не происходит переключения на батареи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40 – 72 Гц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IGBT с высокой частотой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Гармонические искажения входного тока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THDi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≤ 3 %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Входной коэффициент мощности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0,99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Режим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Power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Walk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In</w:t>
            </w:r>
            <w:proofErr w:type="spellEnd"/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Программируется от 1 до 125 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при шаге в 1 с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8118" w:type="dxa"/>
            <w:gridSpan w:val="6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Выходной каскад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380/400/415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переменного тока, три фазы с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нейтралью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(4 провода)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частота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 / 60 Гц</w:t>
            </w:r>
          </w:p>
        </w:tc>
      </w:tr>
      <w:tr w:rsidR="00BC6F5F" w:rsidRPr="00E13146" w:rsidTr="00BC6F5F">
        <w:trPr>
          <w:gridAfter w:val="1"/>
          <w:wAfter w:w="1074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полная мощность на выходе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40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80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120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</w:p>
        </w:tc>
      </w:tr>
      <w:tr w:rsidR="00BC6F5F" w:rsidRPr="00E13146" w:rsidTr="00BC6F5F">
        <w:trPr>
          <w:gridAfter w:val="1"/>
          <w:wAfter w:w="1074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Номинальная активная </w:t>
            </w: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мощность на выходе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27 кВт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36 кВт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54 кВт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72 кВт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90 кВт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108 кВт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Коэффициент мощности на выходе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0,9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Ток короткого замыкания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1,5 x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In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 течение t &gt; 500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мс</w:t>
            </w:r>
            <w:proofErr w:type="spellEnd"/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Точность выходного напряжения (для выходного напряжения 400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переменного тока)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1 %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Статическая стабильность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0,5 % (Сеть / Батарея при нагрузке 0% -100%)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Динамическая стабильность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3 % (Сеть / батарея / сеть при резистивной нагрузке 0% / 100% / 0%)</w:t>
            </w:r>
          </w:p>
        </w:tc>
      </w:tr>
      <w:tr w:rsidR="00BC6F5F" w:rsidRPr="00E13146" w:rsidTr="00BC6F5F">
        <w:trPr>
          <w:gridAfter w:val="1"/>
          <w:wAfter w:w="1074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Гармоническое искажение выходного напряжения при нормализованной линейной и искажающей нагрузке</w:t>
            </w:r>
          </w:p>
        </w:tc>
        <w:tc>
          <w:tcPr>
            <w:tcW w:w="3907" w:type="dxa"/>
            <w:gridSpan w:val="4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1 % при линейной нагрузке ± 3 % при искажающей нагрузке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1 % при линейной нагрузке ± 3,5 % при искажающей нагрузке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2 % при линейной нагрузке ± 4 % при искажающей нагрузке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крест-фактор при номинальной нагрузке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Точность частоты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0,01%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Перегрузка инвертора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≤ 103 % → бесконечно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110 % → 10 мин.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F5F5F5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125 % → 1 мин.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150 % → 5 сек.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Перегрузка байпаса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≤ 110 % → бесконечно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125 % → 60 мин.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F5F5F5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150 % → 10 мин.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&gt; 150 % → 2 сек.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IGBT, 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высокочастотная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, с мультипроцессорным цифровым управлением (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DSP+mP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 по напряжению и току на основании цифровой обработки сигналов с прямой связью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8118" w:type="dxa"/>
            <w:gridSpan w:val="6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Каскад зарядного устройства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240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постоянного тока</w:t>
            </w:r>
          </w:p>
        </w:tc>
      </w:tr>
      <w:tr w:rsidR="00BC6F5F" w:rsidRPr="00E13146" w:rsidTr="00BC6F5F">
        <w:trPr>
          <w:gridAfter w:val="1"/>
          <w:wAfter w:w="1074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Максимальный ток подзарядки (Ток зарядки регулируется автоматически в зависимости от емкости установленной батареи)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10A (20А опционально)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25A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Алгоритм зарядного устройства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Двухуровневый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, с температурной компенсацией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8118" w:type="dxa"/>
            <w:gridSpan w:val="6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Размер и вес</w:t>
            </w:r>
          </w:p>
        </w:tc>
      </w:tr>
      <w:tr w:rsidR="00BC6F5F" w:rsidRPr="00E13146" w:rsidTr="00BC6F5F">
        <w:trPr>
          <w:gridAfter w:val="1"/>
          <w:wAfter w:w="1074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Ш x Г x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440 х 850 х 1320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500 х 850 х 1600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750 х 855 х 1900</w:t>
            </w:r>
          </w:p>
        </w:tc>
      </w:tr>
      <w:tr w:rsidR="00BC6F5F" w:rsidRPr="00E13146" w:rsidTr="00BC6F5F">
        <w:trPr>
          <w:gridAfter w:val="1"/>
          <w:wAfter w:w="1074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Вес без батарей, </w:t>
            </w:r>
            <w:proofErr w:type="gram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380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8118" w:type="dxa"/>
            <w:gridSpan w:val="6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Прочие характеристики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Режимы работы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On-line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double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conversion</w:t>
            </w:r>
            <w:proofErr w:type="spellEnd"/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F5F5F5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mode</w:t>
            </w:r>
            <w:proofErr w:type="spellEnd"/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Smart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Active</w:t>
            </w:r>
            <w:proofErr w:type="spellEnd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mode</w:t>
            </w:r>
            <w:proofErr w:type="spellEnd"/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F5F5F5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Stand-by Off (</w:t>
            </w: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Резервный</w:t>
            </w: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</w:t>
            </w: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ИБП</w:t>
            </w: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)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vMerge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Преобразователь частоты</w:t>
            </w:r>
          </w:p>
        </w:tc>
      </w:tr>
      <w:tr w:rsidR="00BC6F5F" w:rsidRPr="00E13146" w:rsidTr="00BC6F5F">
        <w:trPr>
          <w:gridAfter w:val="1"/>
          <w:wAfter w:w="1074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Уровень шума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&lt; 48 дБ(A)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&lt; 56 дБ(A)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&lt; 58 дБ(A)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&lt; 70 дБ(A)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Темно-серый RAL 7016</w:t>
            </w:r>
          </w:p>
        </w:tc>
      </w:tr>
      <w:tr w:rsidR="00BC6F5F" w:rsidRPr="00E13146" w:rsidTr="00BC6F5F">
        <w:trPr>
          <w:gridAfter w:val="2"/>
          <w:wAfter w:w="2211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Температура окружающей среды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 – 40 °C (20 – 25 °C для максимального срока службы батарей)</w:t>
            </w:r>
          </w:p>
        </w:tc>
      </w:tr>
      <w:tr w:rsidR="00BC6F5F" w:rsidRPr="00E13146" w:rsidTr="00BC6F5F">
        <w:trPr>
          <w:gridAfter w:val="1"/>
          <w:wAfter w:w="1074" w:type="dxa"/>
        </w:trPr>
        <w:tc>
          <w:tcPr>
            <w:tcW w:w="301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Перемещение ИБП</w:t>
            </w:r>
          </w:p>
        </w:tc>
        <w:tc>
          <w:tcPr>
            <w:tcW w:w="5101" w:type="dxa"/>
            <w:gridSpan w:val="5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 колесах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C6F5F" w:rsidRPr="00E13146" w:rsidRDefault="00BC6F5F" w:rsidP="00E13146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E13146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 грузовой тележке</w:t>
            </w:r>
          </w:p>
        </w:tc>
      </w:tr>
    </w:tbl>
    <w:p w:rsidR="00AE2FAB" w:rsidRPr="001862BD" w:rsidRDefault="00AE2FAB" w:rsidP="001862BD">
      <w:pPr>
        <w:ind w:left="-284"/>
      </w:pPr>
    </w:p>
    <w:sectPr w:rsidR="00AE2FAB" w:rsidRPr="001862BD" w:rsidSect="00592011">
      <w:headerReference w:type="default" r:id="rId9"/>
      <w:footerReference w:type="default" r:id="rId10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33" w:rsidRDefault="00931033" w:rsidP="000A62AE">
      <w:pPr>
        <w:spacing w:after="0" w:line="240" w:lineRule="auto"/>
      </w:pPr>
      <w:r>
        <w:separator/>
      </w:r>
    </w:p>
  </w:endnote>
  <w:endnote w:type="continuationSeparator" w:id="0">
    <w:p w:rsidR="00931033" w:rsidRDefault="00931033" w:rsidP="000A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etdem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AE" w:rsidRPr="001862BD" w:rsidRDefault="001862BD" w:rsidP="001862BD">
    <w:pPr>
      <w:pStyle w:val="afa"/>
      <w:jc w:val="center"/>
      <w:rPr>
        <w:i/>
        <w:sz w:val="32"/>
        <w:szCs w:val="32"/>
        <w:lang w:val="en-US"/>
      </w:rPr>
    </w:pPr>
    <w:r w:rsidRPr="001862BD">
      <w:rPr>
        <w:i/>
        <w:color w:val="FF0000"/>
        <w:sz w:val="32"/>
        <w:szCs w:val="32"/>
        <w:lang w:val="en-US"/>
      </w:rPr>
      <w:t xml:space="preserve">POWER SELECT </w:t>
    </w:r>
    <w:r w:rsidR="00592011">
      <w:rPr>
        <w:i/>
        <w:color w:val="FF0000"/>
        <w:sz w:val="32"/>
        <w:szCs w:val="32"/>
        <w:lang w:val="en-US"/>
      </w:rPr>
      <w:t>CALIBER</w:t>
    </w:r>
  </w:p>
  <w:p w:rsidR="000A62AE" w:rsidRDefault="000A62A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33" w:rsidRDefault="00931033" w:rsidP="000A62AE">
      <w:pPr>
        <w:spacing w:after="0" w:line="240" w:lineRule="auto"/>
      </w:pPr>
      <w:r>
        <w:separator/>
      </w:r>
    </w:p>
  </w:footnote>
  <w:footnote w:type="continuationSeparator" w:id="0">
    <w:p w:rsidR="00931033" w:rsidRDefault="00931033" w:rsidP="000A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D" w:rsidRPr="001862BD" w:rsidRDefault="001862BD" w:rsidP="00120A65">
    <w:pPr>
      <w:widowControl w:val="0"/>
      <w:pBdr>
        <w:bottom w:val="single" w:sz="12" w:space="0" w:color="auto"/>
      </w:pBdr>
      <w:autoSpaceDE w:val="0"/>
      <w:autoSpaceDN w:val="0"/>
      <w:adjustRightInd w:val="0"/>
      <w:ind w:left="-567" w:right="139"/>
      <w:rPr>
        <w:b/>
        <w:color w:val="0070C0"/>
        <w:sz w:val="52"/>
        <w:szCs w:val="52"/>
        <w:lang w:val="en-US"/>
      </w:rPr>
    </w:pPr>
    <w:r>
      <w:rPr>
        <w:rFonts w:ascii="Century" w:hAnsi="Century"/>
        <w:b/>
        <w:color w:val="0070C0"/>
        <w:sz w:val="56"/>
        <w:szCs w:val="56"/>
        <w:lang w:val="en-US"/>
      </w:rPr>
      <w:t xml:space="preserve">      </w:t>
    </w:r>
    <w:r w:rsidR="00120A65" w:rsidRPr="00B17308">
      <w:rPr>
        <w:rFonts w:ascii="Century" w:hAnsi="Century"/>
        <w:b/>
        <w:color w:val="0070C0"/>
        <w:sz w:val="56"/>
        <w:szCs w:val="56"/>
      </w:rPr>
      <w:t xml:space="preserve">  ООО «Новая энергия»  </w:t>
    </w:r>
    <w:r w:rsidR="00120A65">
      <w:rPr>
        <w:noProof/>
        <w:color w:val="0000FF"/>
        <w:lang w:eastAsia="ru-RU"/>
      </w:rPr>
      <w:drawing>
        <wp:inline distT="0" distB="0" distL="0" distR="0" wp14:anchorId="40FB3DEE" wp14:editId="0183AEBA">
          <wp:extent cx="1668780" cy="813399"/>
          <wp:effectExtent l="0" t="0" r="7620" b="6350"/>
          <wp:docPr id="9" name="Рисунок 9" descr="http://gen-newenergy.ru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n-newenergy.ru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33" cy="82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A65" w:rsidRPr="00120A65" w:rsidRDefault="00120A65" w:rsidP="00120A65">
    <w:pPr>
      <w:ind w:left="-567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BD"/>
    <w:multiLevelType w:val="multilevel"/>
    <w:tmpl w:val="549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6D8F"/>
    <w:multiLevelType w:val="multilevel"/>
    <w:tmpl w:val="9EB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D075B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C4C9B"/>
    <w:multiLevelType w:val="multilevel"/>
    <w:tmpl w:val="12E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42A6"/>
    <w:multiLevelType w:val="multilevel"/>
    <w:tmpl w:val="EF3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13328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49E6"/>
    <w:multiLevelType w:val="hybridMultilevel"/>
    <w:tmpl w:val="78A85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C5302"/>
    <w:multiLevelType w:val="multilevel"/>
    <w:tmpl w:val="56EAA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62725"/>
    <w:multiLevelType w:val="hybridMultilevel"/>
    <w:tmpl w:val="17628558"/>
    <w:lvl w:ilvl="0" w:tplc="085C1D22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173B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00212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37DEF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46593"/>
    <w:multiLevelType w:val="multilevel"/>
    <w:tmpl w:val="861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06BAF"/>
    <w:multiLevelType w:val="multilevel"/>
    <w:tmpl w:val="D68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3"/>
    <w:rsid w:val="000133EF"/>
    <w:rsid w:val="0001718D"/>
    <w:rsid w:val="00034EA9"/>
    <w:rsid w:val="00035B06"/>
    <w:rsid w:val="00037CF1"/>
    <w:rsid w:val="000A077F"/>
    <w:rsid w:val="000A62AE"/>
    <w:rsid w:val="000D7673"/>
    <w:rsid w:val="000F1B72"/>
    <w:rsid w:val="000F386A"/>
    <w:rsid w:val="00113F57"/>
    <w:rsid w:val="00116AFE"/>
    <w:rsid w:val="001207C4"/>
    <w:rsid w:val="00120A65"/>
    <w:rsid w:val="00121334"/>
    <w:rsid w:val="00134BAB"/>
    <w:rsid w:val="001449F4"/>
    <w:rsid w:val="0014544C"/>
    <w:rsid w:val="00156150"/>
    <w:rsid w:val="001862BD"/>
    <w:rsid w:val="00190AF3"/>
    <w:rsid w:val="001F5E5E"/>
    <w:rsid w:val="002217D4"/>
    <w:rsid w:val="00231C6F"/>
    <w:rsid w:val="002446A1"/>
    <w:rsid w:val="0024757C"/>
    <w:rsid w:val="0025626B"/>
    <w:rsid w:val="0027525F"/>
    <w:rsid w:val="00276A55"/>
    <w:rsid w:val="00295658"/>
    <w:rsid w:val="002A4E8B"/>
    <w:rsid w:val="002B2BCD"/>
    <w:rsid w:val="002C36EC"/>
    <w:rsid w:val="002C538B"/>
    <w:rsid w:val="002F2787"/>
    <w:rsid w:val="003152D3"/>
    <w:rsid w:val="00321408"/>
    <w:rsid w:val="00325D61"/>
    <w:rsid w:val="00331F4F"/>
    <w:rsid w:val="00352FE3"/>
    <w:rsid w:val="00366F6E"/>
    <w:rsid w:val="003929AD"/>
    <w:rsid w:val="003A3917"/>
    <w:rsid w:val="004230BE"/>
    <w:rsid w:val="00437026"/>
    <w:rsid w:val="0044029F"/>
    <w:rsid w:val="0044277B"/>
    <w:rsid w:val="004536EF"/>
    <w:rsid w:val="00467C5E"/>
    <w:rsid w:val="004759FE"/>
    <w:rsid w:val="00483550"/>
    <w:rsid w:val="004A32AF"/>
    <w:rsid w:val="004C63B3"/>
    <w:rsid w:val="004D3F22"/>
    <w:rsid w:val="00505230"/>
    <w:rsid w:val="00513FD6"/>
    <w:rsid w:val="005160FA"/>
    <w:rsid w:val="00520027"/>
    <w:rsid w:val="00540C2A"/>
    <w:rsid w:val="00566F4E"/>
    <w:rsid w:val="00572406"/>
    <w:rsid w:val="00592011"/>
    <w:rsid w:val="005B0883"/>
    <w:rsid w:val="005C0669"/>
    <w:rsid w:val="005C4D1E"/>
    <w:rsid w:val="005D451F"/>
    <w:rsid w:val="005F1970"/>
    <w:rsid w:val="006029D0"/>
    <w:rsid w:val="00647B97"/>
    <w:rsid w:val="00662280"/>
    <w:rsid w:val="00682511"/>
    <w:rsid w:val="006B1C6E"/>
    <w:rsid w:val="006E0239"/>
    <w:rsid w:val="006E1A93"/>
    <w:rsid w:val="00717E31"/>
    <w:rsid w:val="00733259"/>
    <w:rsid w:val="0076306F"/>
    <w:rsid w:val="0077491F"/>
    <w:rsid w:val="00780625"/>
    <w:rsid w:val="0079195F"/>
    <w:rsid w:val="0079531D"/>
    <w:rsid w:val="007A6F5C"/>
    <w:rsid w:val="007E4FEB"/>
    <w:rsid w:val="00807FDB"/>
    <w:rsid w:val="00811465"/>
    <w:rsid w:val="00817A36"/>
    <w:rsid w:val="0083107C"/>
    <w:rsid w:val="00837A20"/>
    <w:rsid w:val="008444A9"/>
    <w:rsid w:val="00852737"/>
    <w:rsid w:val="00884FA4"/>
    <w:rsid w:val="008915E8"/>
    <w:rsid w:val="008E085D"/>
    <w:rsid w:val="008E3730"/>
    <w:rsid w:val="0092436F"/>
    <w:rsid w:val="00931033"/>
    <w:rsid w:val="00937124"/>
    <w:rsid w:val="009439F9"/>
    <w:rsid w:val="00945949"/>
    <w:rsid w:val="009665A1"/>
    <w:rsid w:val="00990F69"/>
    <w:rsid w:val="00A168F6"/>
    <w:rsid w:val="00A23A27"/>
    <w:rsid w:val="00A24358"/>
    <w:rsid w:val="00A47B04"/>
    <w:rsid w:val="00A54250"/>
    <w:rsid w:val="00A80661"/>
    <w:rsid w:val="00A87C65"/>
    <w:rsid w:val="00AB5051"/>
    <w:rsid w:val="00AE0D62"/>
    <w:rsid w:val="00AE2FAB"/>
    <w:rsid w:val="00B00E1C"/>
    <w:rsid w:val="00B068DE"/>
    <w:rsid w:val="00B43AA7"/>
    <w:rsid w:val="00B664AE"/>
    <w:rsid w:val="00B82ADC"/>
    <w:rsid w:val="00B972CA"/>
    <w:rsid w:val="00BB34C2"/>
    <w:rsid w:val="00BB7C31"/>
    <w:rsid w:val="00BC6F5F"/>
    <w:rsid w:val="00BC79DE"/>
    <w:rsid w:val="00BD6D3A"/>
    <w:rsid w:val="00BE20E4"/>
    <w:rsid w:val="00BE6024"/>
    <w:rsid w:val="00BF7F9C"/>
    <w:rsid w:val="00C0404F"/>
    <w:rsid w:val="00C0721F"/>
    <w:rsid w:val="00C340BF"/>
    <w:rsid w:val="00C44C81"/>
    <w:rsid w:val="00C45202"/>
    <w:rsid w:val="00C45BE8"/>
    <w:rsid w:val="00C7347D"/>
    <w:rsid w:val="00D00383"/>
    <w:rsid w:val="00D03526"/>
    <w:rsid w:val="00D13676"/>
    <w:rsid w:val="00D3532A"/>
    <w:rsid w:val="00D4497E"/>
    <w:rsid w:val="00D45F27"/>
    <w:rsid w:val="00D707C4"/>
    <w:rsid w:val="00D76B06"/>
    <w:rsid w:val="00D80D29"/>
    <w:rsid w:val="00D90A96"/>
    <w:rsid w:val="00DA3BD6"/>
    <w:rsid w:val="00DC2FA8"/>
    <w:rsid w:val="00DF05BB"/>
    <w:rsid w:val="00DF07C1"/>
    <w:rsid w:val="00E00C7D"/>
    <w:rsid w:val="00E126D6"/>
    <w:rsid w:val="00E13146"/>
    <w:rsid w:val="00E3115B"/>
    <w:rsid w:val="00E35D29"/>
    <w:rsid w:val="00E82815"/>
    <w:rsid w:val="00EC20B3"/>
    <w:rsid w:val="00EE4B30"/>
    <w:rsid w:val="00EF4E64"/>
    <w:rsid w:val="00F00F58"/>
    <w:rsid w:val="00F0292B"/>
    <w:rsid w:val="00F07902"/>
    <w:rsid w:val="00F3289F"/>
    <w:rsid w:val="00F57C0F"/>
    <w:rsid w:val="00F73C90"/>
    <w:rsid w:val="00F80D9F"/>
    <w:rsid w:val="00F84EFA"/>
    <w:rsid w:val="00F97714"/>
    <w:rsid w:val="00FB2A1C"/>
    <w:rsid w:val="00FC05FC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en-newener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87A0-7EB4-4C27-B5C8-9639F6EA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Admin</cp:lastModifiedBy>
  <cp:revision>2</cp:revision>
  <cp:lastPrinted>2015-10-30T07:52:00Z</cp:lastPrinted>
  <dcterms:created xsi:type="dcterms:W3CDTF">2017-01-21T05:40:00Z</dcterms:created>
  <dcterms:modified xsi:type="dcterms:W3CDTF">2017-01-21T05:40:00Z</dcterms:modified>
</cp:coreProperties>
</file>